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2E637" w14:textId="15F49E70" w:rsidR="003F3E7A" w:rsidRDefault="00DA268B" w:rsidP="003F3E7A">
      <w:pPr>
        <w:rPr>
          <w:b/>
        </w:rPr>
      </w:pPr>
      <w:r>
        <w:rPr>
          <w:b/>
        </w:rPr>
        <w:t xml:space="preserve">A&amp;D </w:t>
      </w:r>
      <w:r w:rsidR="003F3E7A" w:rsidRPr="003F3E7A">
        <w:rPr>
          <w:b/>
        </w:rPr>
        <w:t>CLUSTER STRATEGY</w:t>
      </w:r>
      <w:r>
        <w:rPr>
          <w:b/>
        </w:rPr>
        <w:t xml:space="preserve"> </w:t>
      </w:r>
      <w:r w:rsidR="008C1B0E">
        <w:rPr>
          <w:b/>
        </w:rPr>
        <w:t>2019-2024</w:t>
      </w:r>
      <w:r w:rsidR="00B814E7">
        <w:rPr>
          <w:b/>
        </w:rPr>
        <w:tab/>
      </w:r>
      <w:r w:rsidR="00B814E7">
        <w:rPr>
          <w:b/>
        </w:rPr>
        <w:tab/>
      </w:r>
      <w:r w:rsidR="00B814E7">
        <w:rPr>
          <w:b/>
        </w:rPr>
        <w:tab/>
      </w:r>
      <w:r w:rsidR="00B814E7">
        <w:rPr>
          <w:b/>
        </w:rPr>
        <w:tab/>
      </w:r>
      <w:r w:rsidR="005F1FFE">
        <w:rPr>
          <w:b/>
        </w:rPr>
        <w:tab/>
        <w:t xml:space="preserve">Draft 12 </w:t>
      </w:r>
      <w:r>
        <w:rPr>
          <w:b/>
        </w:rPr>
        <w:t>August</w:t>
      </w:r>
      <w:r w:rsidR="00B814E7">
        <w:rPr>
          <w:b/>
        </w:rPr>
        <w:t xml:space="preserve"> 2019</w:t>
      </w:r>
    </w:p>
    <w:p w14:paraId="4706C943" w14:textId="77777777" w:rsidR="003F3E7A" w:rsidRPr="003F3E7A" w:rsidRDefault="003F3E7A" w:rsidP="003F3E7A">
      <w:pPr>
        <w:rPr>
          <w:b/>
        </w:rPr>
      </w:pPr>
    </w:p>
    <w:p w14:paraId="6A63DDCA" w14:textId="381DD6B0" w:rsidR="007E73DD" w:rsidRDefault="008C1B0E" w:rsidP="003F3E7A">
      <w:pPr>
        <w:pStyle w:val="ListParagraph"/>
        <w:numPr>
          <w:ilvl w:val="0"/>
          <w:numId w:val="1"/>
        </w:numPr>
        <w:rPr>
          <w:b/>
        </w:rPr>
      </w:pPr>
      <w:r>
        <w:rPr>
          <w:b/>
        </w:rPr>
        <w:t>The overarching</w:t>
      </w:r>
      <w:r w:rsidR="003F3E7A" w:rsidRPr="003F3E7A">
        <w:rPr>
          <w:b/>
        </w:rPr>
        <w:t xml:space="preserve"> question that applies to the cluster as a whole</w:t>
      </w:r>
      <w:r>
        <w:rPr>
          <w:b/>
        </w:rPr>
        <w:t xml:space="preserve"> is threefold:</w:t>
      </w:r>
    </w:p>
    <w:p w14:paraId="10A5E515" w14:textId="3719B9D5" w:rsidR="00F629FD" w:rsidRPr="008C1B0E" w:rsidRDefault="00F629FD" w:rsidP="00F629FD">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80" w:lineRule="atLeast"/>
        <w:contextualSpacing w:val="0"/>
        <w:jc w:val="both"/>
        <w:rPr>
          <w:rFonts w:ascii="Calibri" w:hAnsi="Calibri" w:cs="Arial"/>
          <w:color w:val="000000" w:themeColor="text1"/>
          <w:sz w:val="22"/>
          <w:szCs w:val="22"/>
        </w:rPr>
      </w:pPr>
      <w:r w:rsidRPr="008C1B0E">
        <w:rPr>
          <w:rFonts w:ascii="Calibri" w:hAnsi="Calibri" w:cs="Arial"/>
          <w:color w:val="000000" w:themeColor="text1"/>
          <w:sz w:val="22"/>
          <w:szCs w:val="22"/>
        </w:rPr>
        <w:t>What are current trends</w:t>
      </w:r>
      <w:r w:rsidR="004D7F50" w:rsidRPr="008C1B0E">
        <w:rPr>
          <w:rFonts w:ascii="Calibri" w:hAnsi="Calibri" w:cs="Arial"/>
          <w:color w:val="000000" w:themeColor="text1"/>
          <w:sz w:val="22"/>
          <w:szCs w:val="22"/>
        </w:rPr>
        <w:t xml:space="preserve"> </w:t>
      </w:r>
      <w:r w:rsidR="004D7F50" w:rsidRPr="008C1B0E">
        <w:rPr>
          <w:rFonts w:ascii="Calibri" w:hAnsi="Calibri" w:cs="Arial"/>
          <w:color w:val="000000" w:themeColor="text1"/>
          <w:sz w:val="22"/>
          <w:szCs w:val="22"/>
        </w:rPr>
        <w:t>in armament</w:t>
      </w:r>
      <w:r w:rsidRPr="008C1B0E">
        <w:rPr>
          <w:rFonts w:ascii="Calibri" w:hAnsi="Calibri" w:cs="Arial"/>
          <w:color w:val="000000" w:themeColor="text1"/>
          <w:sz w:val="22"/>
          <w:szCs w:val="22"/>
        </w:rPr>
        <w:t>, their drivers, and peace/security risks arising from them?</w:t>
      </w:r>
    </w:p>
    <w:p w14:paraId="06F0B89D" w14:textId="22B0A36F" w:rsidR="003F3E7A" w:rsidRPr="008C1B0E" w:rsidRDefault="00F629FD" w:rsidP="00DA268B">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80" w:lineRule="atLeast"/>
        <w:contextualSpacing w:val="0"/>
        <w:jc w:val="both"/>
        <w:rPr>
          <w:rFonts w:ascii="Calibri" w:hAnsi="Calibri" w:cs="Arial"/>
          <w:color w:val="000000" w:themeColor="text1"/>
          <w:sz w:val="22"/>
          <w:szCs w:val="22"/>
        </w:rPr>
      </w:pPr>
      <w:r w:rsidRPr="008C1B0E">
        <w:rPr>
          <w:rFonts w:ascii="Calibri" w:hAnsi="Calibri" w:cs="Arial"/>
          <w:color w:val="000000" w:themeColor="text1"/>
          <w:sz w:val="22"/>
          <w:szCs w:val="22"/>
        </w:rPr>
        <w:t xml:space="preserve">What </w:t>
      </w:r>
      <w:proofErr w:type="gramStart"/>
      <w:r w:rsidRPr="008C1B0E">
        <w:rPr>
          <w:rFonts w:ascii="Calibri" w:hAnsi="Calibri" w:cs="Arial"/>
          <w:color w:val="000000" w:themeColor="text1"/>
          <w:sz w:val="22"/>
          <w:szCs w:val="22"/>
        </w:rPr>
        <w:t>are</w:t>
      </w:r>
      <w:proofErr w:type="gramEnd"/>
      <w:r w:rsidRPr="008C1B0E">
        <w:rPr>
          <w:rFonts w:ascii="Calibri" w:hAnsi="Calibri" w:cs="Arial"/>
          <w:color w:val="000000" w:themeColor="text1"/>
          <w:sz w:val="22"/>
          <w:szCs w:val="22"/>
        </w:rPr>
        <w:t xml:space="preserve"> current policy, institutional, legal-regulatory and self-regulatory and civil society responses to these trends and risks, and how effective are they? </w:t>
      </w:r>
    </w:p>
    <w:p w14:paraId="6D7AA2C0" w14:textId="444A5BC8" w:rsidR="004D7F50" w:rsidRPr="008C1B0E" w:rsidRDefault="004D7F50" w:rsidP="00DA268B">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80" w:lineRule="atLeast"/>
        <w:contextualSpacing w:val="0"/>
        <w:jc w:val="both"/>
        <w:rPr>
          <w:rFonts w:ascii="Calibri" w:hAnsi="Calibri" w:cs="Arial"/>
          <w:color w:val="000000" w:themeColor="text1"/>
          <w:sz w:val="22"/>
          <w:szCs w:val="22"/>
        </w:rPr>
      </w:pPr>
      <w:r w:rsidRPr="008C1B0E">
        <w:rPr>
          <w:rFonts w:ascii="Calibri" w:hAnsi="Calibri" w:cs="Arial"/>
          <w:color w:val="000000" w:themeColor="text1"/>
          <w:sz w:val="22"/>
          <w:szCs w:val="22"/>
        </w:rPr>
        <w:t>Wh</w:t>
      </w:r>
      <w:r w:rsidR="00812A59">
        <w:rPr>
          <w:rFonts w:ascii="Calibri" w:hAnsi="Calibri" w:cs="Arial"/>
          <w:color w:val="000000" w:themeColor="text1"/>
          <w:sz w:val="22"/>
          <w:szCs w:val="22"/>
        </w:rPr>
        <w:t>at</w:t>
      </w:r>
      <w:r w:rsidRPr="008C1B0E">
        <w:rPr>
          <w:rFonts w:ascii="Calibri" w:hAnsi="Calibri" w:cs="Arial"/>
          <w:color w:val="000000" w:themeColor="text1"/>
          <w:sz w:val="22"/>
          <w:szCs w:val="22"/>
        </w:rPr>
        <w:t xml:space="preserve"> changes are </w:t>
      </w:r>
      <w:r w:rsidR="00812A59">
        <w:rPr>
          <w:rFonts w:ascii="Calibri" w:hAnsi="Calibri" w:cs="Arial"/>
          <w:color w:val="000000" w:themeColor="text1"/>
          <w:sz w:val="22"/>
          <w:szCs w:val="22"/>
        </w:rPr>
        <w:t>worthwhile</w:t>
      </w:r>
      <w:r w:rsidRPr="008C1B0E">
        <w:rPr>
          <w:rFonts w:ascii="Calibri" w:hAnsi="Calibri" w:cs="Arial"/>
          <w:color w:val="000000" w:themeColor="text1"/>
          <w:sz w:val="22"/>
          <w:szCs w:val="22"/>
        </w:rPr>
        <w:t xml:space="preserve"> and feasible?</w:t>
      </w:r>
    </w:p>
    <w:p w14:paraId="7BE2F926" w14:textId="1978AF19" w:rsidR="00A814DA" w:rsidRPr="00B00D06" w:rsidRDefault="00A814DA" w:rsidP="00B00D06">
      <w:pPr>
        <w:pStyle w:val="ListParagraph"/>
        <w:numPr>
          <w:ilvl w:val="0"/>
          <w:numId w:val="1"/>
        </w:numPr>
        <w:rPr>
          <w:b/>
        </w:rPr>
      </w:pPr>
      <w:r>
        <w:rPr>
          <w:b/>
        </w:rPr>
        <w:t xml:space="preserve">How are these addressed and what are plans for the future? </w:t>
      </w:r>
    </w:p>
    <w:p w14:paraId="58698388" w14:textId="670E5D9A" w:rsidR="008C1B0E" w:rsidRPr="00A814DA" w:rsidRDefault="004D7F50" w:rsidP="00A814DA">
      <w:pPr>
        <w:pStyle w:val="ListParagraph"/>
        <w:rPr>
          <w:b/>
        </w:rPr>
      </w:pPr>
      <w:r w:rsidRPr="00A814DA">
        <w:rPr>
          <w:bCs/>
        </w:rPr>
        <w:t>Four</w:t>
      </w:r>
      <w:r w:rsidR="00B814E7" w:rsidRPr="00A814DA">
        <w:rPr>
          <w:bCs/>
        </w:rPr>
        <w:t xml:space="preserve"> programme</w:t>
      </w:r>
      <w:r w:rsidRPr="00A814DA">
        <w:rPr>
          <w:bCs/>
        </w:rPr>
        <w:t>s</w:t>
      </w:r>
      <w:r w:rsidR="00B814E7" w:rsidRPr="00A814DA">
        <w:rPr>
          <w:bCs/>
        </w:rPr>
        <w:t xml:space="preserve"> </w:t>
      </w:r>
      <w:r w:rsidR="008C1B0E" w:rsidRPr="00A814DA">
        <w:rPr>
          <w:bCs/>
        </w:rPr>
        <w:t xml:space="preserve">currently </w:t>
      </w:r>
      <w:r w:rsidR="00B814E7" w:rsidRPr="00A814DA">
        <w:rPr>
          <w:bCs/>
        </w:rPr>
        <w:t xml:space="preserve">explore these </w:t>
      </w:r>
      <w:r w:rsidRPr="00A814DA">
        <w:rPr>
          <w:bCs/>
        </w:rPr>
        <w:t>questions</w:t>
      </w:r>
      <w:r w:rsidR="00A814DA" w:rsidRPr="00A814DA">
        <w:rPr>
          <w:bCs/>
        </w:rPr>
        <w:t>:</w:t>
      </w:r>
      <w:r w:rsidR="00A814DA">
        <w:rPr>
          <w:b/>
        </w:rPr>
        <w:t xml:space="preserve"> </w:t>
      </w:r>
      <w:r>
        <w:t xml:space="preserve">Arms and Military Spending; Dual-use and Arms Trade Control; Emerging Security Technologies; and </w:t>
      </w:r>
      <w:r w:rsidR="00DA268B">
        <w:t xml:space="preserve">Nuclear </w:t>
      </w:r>
      <w:r w:rsidR="005F1FFE">
        <w:t>D</w:t>
      </w:r>
      <w:r w:rsidR="00DA268B">
        <w:t xml:space="preserve">isarmament, </w:t>
      </w:r>
      <w:r w:rsidR="005F1FFE">
        <w:t>A</w:t>
      </w:r>
      <w:r w:rsidR="00DA268B">
        <w:t xml:space="preserve">rms </w:t>
      </w:r>
      <w:r w:rsidR="005F1FFE">
        <w:t>C</w:t>
      </w:r>
      <w:r w:rsidR="00DA268B">
        <w:t xml:space="preserve">ontrol and </w:t>
      </w:r>
      <w:r w:rsidR="005F1FFE">
        <w:t>N</w:t>
      </w:r>
      <w:r w:rsidR="00DA268B">
        <w:t>on-proliferation</w:t>
      </w:r>
      <w:r>
        <w:t xml:space="preserve">. </w:t>
      </w:r>
      <w:r w:rsidR="008C1B0E">
        <w:t xml:space="preserve">While each of the programmes works in </w:t>
      </w:r>
      <w:r w:rsidR="005F1FFE">
        <w:t>its</w:t>
      </w:r>
      <w:r w:rsidR="008C1B0E">
        <w:t xml:space="preserve"> specific area, th</w:t>
      </w:r>
      <w:r>
        <w:t xml:space="preserve">e programmes closely interact to address the following </w:t>
      </w:r>
      <w:r w:rsidR="008C1B0E">
        <w:t xml:space="preserve">cross-cutting </w:t>
      </w:r>
      <w:r>
        <w:t xml:space="preserve">issues: technology as both a </w:t>
      </w:r>
      <w:r w:rsidRPr="00A814DA">
        <w:rPr>
          <w:i/>
          <w:iCs/>
        </w:rPr>
        <w:t>driver</w:t>
      </w:r>
      <w:r>
        <w:t xml:space="preserve"> of peace and security risks and an </w:t>
      </w:r>
      <w:r w:rsidRPr="00A814DA">
        <w:rPr>
          <w:i/>
          <w:iCs/>
        </w:rPr>
        <w:t>opportunity</w:t>
      </w:r>
      <w:r>
        <w:t xml:space="preserve"> to mitigate those risks</w:t>
      </w:r>
      <w:r w:rsidR="008C1B0E">
        <w:t xml:space="preserve">; and the future of arms control and disarmament. </w:t>
      </w:r>
    </w:p>
    <w:p w14:paraId="739EBF5D" w14:textId="77777777" w:rsidR="008C1B0E" w:rsidRDefault="008C1B0E" w:rsidP="004D7F50">
      <w:pPr>
        <w:pStyle w:val="ListParagraph"/>
      </w:pPr>
    </w:p>
    <w:p w14:paraId="3A7915FD" w14:textId="0BBF6A0A" w:rsidR="00361B63" w:rsidRDefault="008C1B0E" w:rsidP="00361B63">
      <w:pPr>
        <w:pStyle w:val="ListParagraph"/>
      </w:pPr>
      <w:r>
        <w:t xml:space="preserve">The cluster thus collectively </w:t>
      </w:r>
      <w:r w:rsidR="00361B63">
        <w:t xml:space="preserve">seeks to </w:t>
      </w:r>
      <w:r>
        <w:t xml:space="preserve">address the </w:t>
      </w:r>
      <w:r w:rsidR="00361B63">
        <w:t xml:space="preserve">current </w:t>
      </w:r>
      <w:r>
        <w:t xml:space="preserve">challenge of the crisis of arms control, </w:t>
      </w:r>
      <w:r w:rsidR="00361B63">
        <w:t>as well as</w:t>
      </w:r>
      <w:r>
        <w:t xml:space="preserve"> security implications of the </w:t>
      </w:r>
      <w:r w:rsidR="00361B63">
        <w:t>complexity, speed and scope of technology developments.</w:t>
      </w:r>
      <w:r w:rsidR="00361B63">
        <w:t xml:space="preserve"> A particular challenge arises from arms and technology </w:t>
      </w:r>
      <w:r>
        <w:t>developments</w:t>
      </w:r>
      <w:r w:rsidR="00361B63">
        <w:t xml:space="preserve"> being deal with within </w:t>
      </w:r>
      <w:proofErr w:type="spellStart"/>
      <w:r w:rsidR="00361B63">
        <w:t>stovepiped</w:t>
      </w:r>
      <w:proofErr w:type="spellEnd"/>
      <w:r w:rsidR="00361B63">
        <w:t xml:space="preserve"> governance structures</w:t>
      </w:r>
      <w:r>
        <w:t xml:space="preserve"> </w:t>
      </w:r>
      <w:r w:rsidR="00361B63">
        <w:t xml:space="preserve">at the national, regional and international levels, not taking account of the </w:t>
      </w:r>
      <w:r>
        <w:t>inter</w:t>
      </w:r>
      <w:r w:rsidR="00361B63">
        <w:t>connections</w:t>
      </w:r>
      <w:r>
        <w:t xml:space="preserve"> between different technologies. </w:t>
      </w:r>
      <w:r w:rsidR="00812A59">
        <w:t>The current situation highlights the need for sound evidence, balanced analysis, and clarity on complex issues to inform a global conversation. It also shows the importance of SIPRI’s convening power in these areas.</w:t>
      </w:r>
    </w:p>
    <w:p w14:paraId="7F6F3C4A" w14:textId="77777777" w:rsidR="00361B63" w:rsidRDefault="00361B63" w:rsidP="00361B63">
      <w:pPr>
        <w:pStyle w:val="ListParagraph"/>
      </w:pPr>
    </w:p>
    <w:p w14:paraId="34552774" w14:textId="7397B7FD" w:rsidR="00F629FD" w:rsidRPr="00361B63" w:rsidRDefault="00F629FD" w:rsidP="00361B63">
      <w:pPr>
        <w:pStyle w:val="ListParagraph"/>
      </w:pPr>
      <w:r w:rsidRPr="00361B63">
        <w:rPr>
          <w:bCs/>
          <w:color w:val="000000" w:themeColor="text1"/>
        </w:rPr>
        <w:t>Funding sources</w:t>
      </w:r>
      <w:r w:rsidR="00361B63" w:rsidRPr="00361B63">
        <w:rPr>
          <w:bCs/>
          <w:color w:val="000000" w:themeColor="text1"/>
        </w:rPr>
        <w:t>:</w:t>
      </w:r>
      <w:r w:rsidR="00361B63">
        <w:rPr>
          <w:b/>
          <w:color w:val="000000" w:themeColor="text1"/>
        </w:rPr>
        <w:t xml:space="preserve"> </w:t>
      </w:r>
      <w:r w:rsidRPr="00361B63">
        <w:rPr>
          <w:color w:val="000000" w:themeColor="text1"/>
        </w:rPr>
        <w:t>Current funding comes mostly from governments</w:t>
      </w:r>
      <w:r w:rsidR="00361B63">
        <w:rPr>
          <w:color w:val="000000" w:themeColor="text1"/>
        </w:rPr>
        <w:t xml:space="preserve"> (mostly European), the </w:t>
      </w:r>
      <w:r w:rsidRPr="00361B63">
        <w:rPr>
          <w:color w:val="000000" w:themeColor="text1"/>
        </w:rPr>
        <w:t xml:space="preserve">EU, </w:t>
      </w:r>
      <w:r w:rsidR="00361B63">
        <w:rPr>
          <w:color w:val="000000" w:themeColor="text1"/>
        </w:rPr>
        <w:t xml:space="preserve">the </w:t>
      </w:r>
      <w:r w:rsidRPr="00361B63">
        <w:rPr>
          <w:color w:val="000000" w:themeColor="text1"/>
        </w:rPr>
        <w:t xml:space="preserve">UN and </w:t>
      </w:r>
      <w:r w:rsidR="00361B63">
        <w:rPr>
          <w:color w:val="000000" w:themeColor="text1"/>
        </w:rPr>
        <w:t xml:space="preserve">(mostly US) </w:t>
      </w:r>
      <w:r w:rsidRPr="00361B63">
        <w:rPr>
          <w:color w:val="000000" w:themeColor="text1"/>
        </w:rPr>
        <w:t>foundation</w:t>
      </w:r>
      <w:r w:rsidR="00361B63">
        <w:rPr>
          <w:color w:val="000000" w:themeColor="text1"/>
        </w:rPr>
        <w:t>s.</w:t>
      </w:r>
      <w:r w:rsidRPr="00361B63">
        <w:rPr>
          <w:color w:val="000000" w:themeColor="text1"/>
        </w:rPr>
        <w:t xml:space="preserve"> More longer</w:t>
      </w:r>
      <w:r w:rsidR="00361B63">
        <w:rPr>
          <w:color w:val="000000" w:themeColor="text1"/>
        </w:rPr>
        <w:t>-</w:t>
      </w:r>
      <w:r w:rsidRPr="00361B63">
        <w:rPr>
          <w:color w:val="000000" w:themeColor="text1"/>
        </w:rPr>
        <w:t xml:space="preserve">term strategic funding </w:t>
      </w:r>
      <w:r w:rsidR="00361B63">
        <w:rPr>
          <w:color w:val="000000" w:themeColor="text1"/>
        </w:rPr>
        <w:t>will</w:t>
      </w:r>
      <w:r w:rsidRPr="00361B63">
        <w:rPr>
          <w:color w:val="000000" w:themeColor="text1"/>
        </w:rPr>
        <w:t xml:space="preserve"> be explored from foundations.</w:t>
      </w:r>
    </w:p>
    <w:p w14:paraId="4B2507BC" w14:textId="77777777" w:rsidR="00F629FD" w:rsidRDefault="00F629FD" w:rsidP="00F629FD">
      <w:pPr>
        <w:pStyle w:val="ListParagraph"/>
        <w:ind w:left="1440"/>
      </w:pPr>
    </w:p>
    <w:p w14:paraId="574EA058" w14:textId="4D2B8491" w:rsidR="00426700" w:rsidRDefault="00A814DA" w:rsidP="003F3E7A">
      <w:pPr>
        <w:pStyle w:val="ListParagraph"/>
      </w:pPr>
      <w:r>
        <w:t xml:space="preserve">New areas: </w:t>
      </w:r>
      <w:r w:rsidR="00361B63">
        <w:t>T</w:t>
      </w:r>
      <w:r w:rsidR="00B814E7">
        <w:t>he cluster intend</w:t>
      </w:r>
      <w:r w:rsidR="00361B63">
        <w:t>s</w:t>
      </w:r>
      <w:r w:rsidR="00B814E7">
        <w:t xml:space="preserve"> to </w:t>
      </w:r>
      <w:r w:rsidR="00361B63">
        <w:t xml:space="preserve">further strengthen work on biological </w:t>
      </w:r>
      <w:r w:rsidR="005F4AA0">
        <w:t xml:space="preserve">weapon </w:t>
      </w:r>
      <w:r w:rsidR="00361B63">
        <w:t>issues</w:t>
      </w:r>
      <w:r w:rsidR="005F4AA0">
        <w:t xml:space="preserve"> </w:t>
      </w:r>
      <w:r w:rsidR="00361B63">
        <w:t>and to re-establish its work on chemical weapons issues.</w:t>
      </w:r>
      <w:r w:rsidR="005F4AA0">
        <w:t xml:space="preserve"> Both areas have been part of SIPRI’s profile for </w:t>
      </w:r>
      <w:proofErr w:type="gramStart"/>
      <w:r w:rsidR="005F4AA0">
        <w:t>decades, and</w:t>
      </w:r>
      <w:proofErr w:type="gramEnd"/>
      <w:r w:rsidR="005F4AA0">
        <w:t xml:space="preserve"> continue to present distinct challenges for international security. The BW focus on science and technology will continue; while for CW the focus will include attribution, investigation and prosecution. So far funding has been secured from the German government for BW work and from the Swedish and Norwegian governments for CW work. Likely future funding sources are these and other national governments.</w:t>
      </w:r>
      <w:r>
        <w:t xml:space="preserve"> The cluster also seeks to expand into new technology areas, and to review its nuclear forces methodology.</w:t>
      </w:r>
    </w:p>
    <w:p w14:paraId="425C1208" w14:textId="77777777" w:rsidR="00361B63" w:rsidRDefault="00361B63" w:rsidP="005F4AA0"/>
    <w:p w14:paraId="1215AB3B" w14:textId="6148030F" w:rsidR="00F629FD" w:rsidRPr="00341DA6" w:rsidRDefault="00F629FD" w:rsidP="003F3E7A">
      <w:pPr>
        <w:pStyle w:val="ListParagraph"/>
        <w:rPr>
          <w:color w:val="000000" w:themeColor="text1"/>
        </w:rPr>
      </w:pPr>
      <w:r w:rsidRPr="00341DA6">
        <w:rPr>
          <w:color w:val="000000" w:themeColor="text1"/>
        </w:rPr>
        <w:t xml:space="preserve">Main </w:t>
      </w:r>
      <w:r w:rsidR="00341DA6">
        <w:rPr>
          <w:color w:val="000000" w:themeColor="text1"/>
        </w:rPr>
        <w:t xml:space="preserve">cluster </w:t>
      </w:r>
      <w:r w:rsidRPr="00341DA6">
        <w:rPr>
          <w:color w:val="000000" w:themeColor="text1"/>
        </w:rPr>
        <w:t xml:space="preserve">activities apart from research:  </w:t>
      </w:r>
    </w:p>
    <w:p w14:paraId="0B67FE9C" w14:textId="79E5EA95" w:rsidR="00F629FD" w:rsidRPr="00341DA6" w:rsidRDefault="00F629FD" w:rsidP="005F1FFE">
      <w:pPr>
        <w:pStyle w:val="ListParagraph"/>
        <w:numPr>
          <w:ilvl w:val="0"/>
          <w:numId w:val="11"/>
        </w:numPr>
        <w:rPr>
          <w:color w:val="000000" w:themeColor="text1"/>
        </w:rPr>
      </w:pPr>
      <w:r w:rsidRPr="00341DA6">
        <w:rPr>
          <w:color w:val="000000" w:themeColor="text1"/>
        </w:rPr>
        <w:t xml:space="preserve">The </w:t>
      </w:r>
      <w:r w:rsidR="005F4AA0" w:rsidRPr="00341DA6">
        <w:rPr>
          <w:color w:val="000000" w:themeColor="text1"/>
        </w:rPr>
        <w:t xml:space="preserve">annual </w:t>
      </w:r>
      <w:r w:rsidRPr="00341DA6">
        <w:rPr>
          <w:color w:val="000000" w:themeColor="text1"/>
        </w:rPr>
        <w:t>S</w:t>
      </w:r>
      <w:r w:rsidR="005F4AA0" w:rsidRPr="00341DA6">
        <w:rPr>
          <w:color w:val="000000" w:themeColor="text1"/>
        </w:rPr>
        <w:t>tockholm Security Conference</w:t>
      </w:r>
      <w:r w:rsidRPr="00341DA6">
        <w:rPr>
          <w:color w:val="000000" w:themeColor="text1"/>
        </w:rPr>
        <w:t xml:space="preserve"> (</w:t>
      </w:r>
      <w:r w:rsidR="005F4AA0" w:rsidRPr="00341DA6">
        <w:rPr>
          <w:color w:val="000000" w:themeColor="text1"/>
        </w:rPr>
        <w:t>responsibility for which is shared</w:t>
      </w:r>
      <w:r w:rsidRPr="00341DA6">
        <w:rPr>
          <w:color w:val="000000" w:themeColor="text1"/>
        </w:rPr>
        <w:t xml:space="preserve"> with Cluster 2)</w:t>
      </w:r>
      <w:r w:rsidR="005F4AA0" w:rsidRPr="00341DA6">
        <w:rPr>
          <w:color w:val="000000" w:themeColor="text1"/>
        </w:rPr>
        <w:t xml:space="preserve"> addresses issues within the overarching cluster question. Funding </w:t>
      </w:r>
      <w:r w:rsidRPr="00341DA6">
        <w:rPr>
          <w:color w:val="000000" w:themeColor="text1"/>
        </w:rPr>
        <w:t>current</w:t>
      </w:r>
      <w:r w:rsidR="005F1FFE">
        <w:rPr>
          <w:color w:val="000000" w:themeColor="text1"/>
        </w:rPr>
        <w:t>ly</w:t>
      </w:r>
      <w:r w:rsidRPr="00341DA6">
        <w:rPr>
          <w:color w:val="000000" w:themeColor="text1"/>
        </w:rPr>
        <w:t xml:space="preserve"> </w:t>
      </w:r>
      <w:r w:rsidR="005F4AA0" w:rsidRPr="00341DA6">
        <w:rPr>
          <w:color w:val="000000" w:themeColor="text1"/>
        </w:rPr>
        <w:t xml:space="preserve">comes </w:t>
      </w:r>
      <w:r w:rsidRPr="00341DA6">
        <w:rPr>
          <w:color w:val="000000" w:themeColor="text1"/>
        </w:rPr>
        <w:t xml:space="preserve">mostly </w:t>
      </w:r>
      <w:r w:rsidR="005F4AA0" w:rsidRPr="00341DA6">
        <w:rPr>
          <w:color w:val="000000" w:themeColor="text1"/>
        </w:rPr>
        <w:t>from</w:t>
      </w:r>
      <w:r w:rsidRPr="00341DA6">
        <w:rPr>
          <w:color w:val="000000" w:themeColor="text1"/>
        </w:rPr>
        <w:t xml:space="preserve"> one private funder</w:t>
      </w:r>
      <w:r w:rsidR="00341DA6" w:rsidRPr="00341DA6">
        <w:rPr>
          <w:color w:val="000000" w:themeColor="text1"/>
        </w:rPr>
        <w:t>. Other funding sources will be explored by both clusters and SMT.</w:t>
      </w:r>
    </w:p>
    <w:p w14:paraId="3C1808EF" w14:textId="5D4D984B" w:rsidR="00F629FD" w:rsidRPr="00341DA6" w:rsidRDefault="005F1FFE" w:rsidP="005F1FFE">
      <w:pPr>
        <w:pStyle w:val="ListParagraph"/>
        <w:numPr>
          <w:ilvl w:val="0"/>
          <w:numId w:val="11"/>
        </w:numPr>
        <w:rPr>
          <w:color w:val="000000" w:themeColor="text1"/>
        </w:rPr>
      </w:pPr>
      <w:r>
        <w:rPr>
          <w:color w:val="000000" w:themeColor="text1"/>
        </w:rPr>
        <w:t>At present, the c</w:t>
      </w:r>
      <w:r w:rsidR="00341DA6" w:rsidRPr="009B0C71">
        <w:rPr>
          <w:color w:val="000000" w:themeColor="text1"/>
        </w:rPr>
        <w:t>luster contribut</w:t>
      </w:r>
      <w:r>
        <w:rPr>
          <w:color w:val="000000" w:themeColor="text1"/>
        </w:rPr>
        <w:t>es</w:t>
      </w:r>
      <w:r w:rsidR="00341DA6" w:rsidRPr="009B0C71">
        <w:rPr>
          <w:color w:val="000000" w:themeColor="text1"/>
        </w:rPr>
        <w:t xml:space="preserve"> to p</w:t>
      </w:r>
      <w:r w:rsidR="00F629FD" w:rsidRPr="009B0C71">
        <w:rPr>
          <w:color w:val="000000" w:themeColor="text1"/>
        </w:rPr>
        <w:t>eace</w:t>
      </w:r>
      <w:r w:rsidR="00F629FD" w:rsidRPr="00341DA6">
        <w:rPr>
          <w:color w:val="000000" w:themeColor="text1"/>
        </w:rPr>
        <w:t xml:space="preserve"> research capacity-building</w:t>
      </w:r>
      <w:r>
        <w:rPr>
          <w:color w:val="000000" w:themeColor="text1"/>
        </w:rPr>
        <w:t xml:space="preserve"> </w:t>
      </w:r>
      <w:r w:rsidR="00F629FD" w:rsidRPr="00341DA6">
        <w:rPr>
          <w:color w:val="000000" w:themeColor="text1"/>
        </w:rPr>
        <w:t>mainly</w:t>
      </w:r>
      <w:r w:rsidR="00341DA6" w:rsidRPr="00341DA6">
        <w:rPr>
          <w:color w:val="000000" w:themeColor="text1"/>
        </w:rPr>
        <w:t xml:space="preserve"> </w:t>
      </w:r>
      <w:r w:rsidR="00F629FD" w:rsidRPr="00341DA6">
        <w:rPr>
          <w:color w:val="000000" w:themeColor="text1"/>
        </w:rPr>
        <w:t xml:space="preserve">through coordinating the European Network of Independent Non-proliferation </w:t>
      </w:r>
      <w:r w:rsidR="00F629FD" w:rsidRPr="00341DA6">
        <w:rPr>
          <w:color w:val="000000" w:themeColor="text1"/>
        </w:rPr>
        <w:lastRenderedPageBreak/>
        <w:t xml:space="preserve">and Disarmament </w:t>
      </w:r>
      <w:r w:rsidR="00DA268B" w:rsidRPr="00341DA6">
        <w:rPr>
          <w:color w:val="000000" w:themeColor="text1"/>
        </w:rPr>
        <w:t xml:space="preserve">(NPD) </w:t>
      </w:r>
      <w:r w:rsidR="00F629FD" w:rsidRPr="00341DA6">
        <w:rPr>
          <w:color w:val="000000" w:themeColor="text1"/>
        </w:rPr>
        <w:t xml:space="preserve">Think Tanks and chairing the EU </w:t>
      </w:r>
      <w:r w:rsidR="00DA268B" w:rsidRPr="00341DA6">
        <w:rPr>
          <w:color w:val="000000" w:themeColor="text1"/>
        </w:rPr>
        <w:t xml:space="preserve">NPD </w:t>
      </w:r>
      <w:r w:rsidR="00F629FD" w:rsidRPr="00341DA6">
        <w:rPr>
          <w:color w:val="000000" w:themeColor="text1"/>
        </w:rPr>
        <w:t>Consortium.</w:t>
      </w:r>
      <w:r w:rsidR="00341DA6" w:rsidRPr="00341DA6">
        <w:rPr>
          <w:color w:val="000000" w:themeColor="text1"/>
        </w:rPr>
        <w:t xml:space="preserve"> This work will be expanded through further NPD education initiatives, </w:t>
      </w:r>
      <w:r>
        <w:rPr>
          <w:color w:val="000000" w:themeColor="text1"/>
        </w:rPr>
        <w:t>seeking</w:t>
      </w:r>
      <w:r w:rsidR="00341DA6" w:rsidRPr="00341DA6">
        <w:rPr>
          <w:color w:val="000000" w:themeColor="text1"/>
        </w:rPr>
        <w:t xml:space="preserve"> a broader funding base (national EU governments such as the Netherlands, Germany and the UK, but also other G7 governments). This is particularly pertinent given clear signs of low/declining next generation and mid-career expertise in arms control issues across Europe and globally.</w:t>
      </w:r>
    </w:p>
    <w:p w14:paraId="660FE2B5" w14:textId="6BEDB3FC" w:rsidR="00DA268B" w:rsidRPr="00341DA6" w:rsidRDefault="00341DA6" w:rsidP="00341DA6">
      <w:pPr>
        <w:pStyle w:val="ListParagraph"/>
        <w:numPr>
          <w:ilvl w:val="0"/>
          <w:numId w:val="11"/>
        </w:numPr>
        <w:rPr>
          <w:color w:val="000000" w:themeColor="text1"/>
        </w:rPr>
      </w:pPr>
      <w:r w:rsidRPr="00341DA6">
        <w:t xml:space="preserve">The cluster is </w:t>
      </w:r>
      <w:r>
        <w:t xml:space="preserve">also </w:t>
      </w:r>
      <w:r w:rsidRPr="00341DA6">
        <w:t xml:space="preserve">responsible </w:t>
      </w:r>
      <w:r w:rsidRPr="00341DA6">
        <w:rPr>
          <w:color w:val="000000" w:themeColor="text1"/>
        </w:rPr>
        <w:t xml:space="preserve">for </w:t>
      </w:r>
      <w:r w:rsidR="00812A59">
        <w:rPr>
          <w:color w:val="000000" w:themeColor="text1"/>
        </w:rPr>
        <w:t>high-level, private</w:t>
      </w:r>
      <w:r w:rsidR="00DA268B" w:rsidRPr="00341DA6">
        <w:rPr>
          <w:color w:val="000000" w:themeColor="text1"/>
        </w:rPr>
        <w:t xml:space="preserve"> dialogue</w:t>
      </w:r>
      <w:r w:rsidRPr="00341DA6">
        <w:rPr>
          <w:color w:val="000000" w:themeColor="text1"/>
        </w:rPr>
        <w:t xml:space="preserve"> activities</w:t>
      </w:r>
      <w:r w:rsidR="005F1FFE">
        <w:rPr>
          <w:color w:val="000000" w:themeColor="text1"/>
        </w:rPr>
        <w:t xml:space="preserve"> which will continue</w:t>
      </w:r>
      <w:r w:rsidRPr="00341DA6">
        <w:rPr>
          <w:color w:val="000000" w:themeColor="text1"/>
        </w:rPr>
        <w:t>.</w:t>
      </w:r>
    </w:p>
    <w:p w14:paraId="3FE723A9" w14:textId="77777777" w:rsidR="00341DA6" w:rsidRDefault="00341DA6" w:rsidP="003F3E7A">
      <w:pPr>
        <w:pStyle w:val="ListParagraph"/>
      </w:pPr>
    </w:p>
    <w:p w14:paraId="69A4E2CF" w14:textId="04655403" w:rsidR="001030A2" w:rsidRPr="00F629FD" w:rsidRDefault="00341DA6" w:rsidP="00341DA6">
      <w:pPr>
        <w:pStyle w:val="ListParagraph"/>
        <w:rPr>
          <w:color w:val="FF0000"/>
        </w:rPr>
      </w:pPr>
      <w:r>
        <w:t>N</w:t>
      </w:r>
      <w:r w:rsidR="00B814E7">
        <w:t>ew capacity needed</w:t>
      </w:r>
      <w:r>
        <w:t xml:space="preserve"> includes </w:t>
      </w:r>
      <w:r w:rsidR="00B814E7">
        <w:t xml:space="preserve">expertise </w:t>
      </w:r>
      <w:r>
        <w:t>in international law and in specific technology areas, in particular missiles</w:t>
      </w:r>
      <w:r w:rsidR="00A814DA">
        <w:t xml:space="preserve"> and cyber</w:t>
      </w:r>
      <w:r w:rsidR="00812A59">
        <w:t xml:space="preserve"> </w:t>
      </w:r>
      <w:r w:rsidR="005F1FFE">
        <w:t xml:space="preserve">(new) </w:t>
      </w:r>
      <w:r w:rsidR="00812A59">
        <w:t>but also chemical and biological</w:t>
      </w:r>
      <w:r w:rsidR="005F1FFE">
        <w:t xml:space="preserve"> (re-building)</w:t>
      </w:r>
      <w:r>
        <w:t xml:space="preserve">. Some expertise can be accessed through associates and partnerships, but the in-house expertise should also be broadened. To expand the time available for analysis of SIPRI data, the AMEX team will need strengthening. </w:t>
      </w:r>
      <w:r w:rsidR="009B0C71">
        <w:t xml:space="preserve">To review the nuclear forces methodology and do the data collection in-house, the team will need to be strengthened. </w:t>
      </w:r>
      <w:r>
        <w:t>Diversity will be a key consideration in expanding the cluster</w:t>
      </w:r>
      <w:r w:rsidR="00A814DA">
        <w:t xml:space="preserve">, in particular </w:t>
      </w:r>
      <w:r w:rsidR="00812A59">
        <w:t>increasing staff, associates and partners from the Global South</w:t>
      </w:r>
      <w:r>
        <w:t>.</w:t>
      </w:r>
    </w:p>
    <w:p w14:paraId="2CB8D504" w14:textId="77777777" w:rsidR="00F629FD" w:rsidRPr="003F3E7A" w:rsidRDefault="00F629FD" w:rsidP="003F3E7A">
      <w:pPr>
        <w:pStyle w:val="ListParagraph"/>
      </w:pPr>
    </w:p>
    <w:p w14:paraId="460B2FCE" w14:textId="158BA299" w:rsidR="00B814E7" w:rsidRDefault="00B814E7" w:rsidP="00B814E7">
      <w:pPr>
        <w:pStyle w:val="ListParagraph"/>
        <w:numPr>
          <w:ilvl w:val="0"/>
          <w:numId w:val="1"/>
        </w:numPr>
        <w:rPr>
          <w:b/>
        </w:rPr>
      </w:pPr>
      <w:r>
        <w:rPr>
          <w:b/>
        </w:rPr>
        <w:t>Methodology/</w:t>
      </w:r>
      <w:proofErr w:type="spellStart"/>
      <w:r>
        <w:rPr>
          <w:b/>
        </w:rPr>
        <w:t>ies</w:t>
      </w:r>
      <w:proofErr w:type="spellEnd"/>
      <w:r>
        <w:rPr>
          <w:b/>
        </w:rPr>
        <w:t xml:space="preserve"> </w:t>
      </w:r>
    </w:p>
    <w:p w14:paraId="76B9DD3F" w14:textId="1677FE95" w:rsidR="009B0C71" w:rsidRDefault="00341DA6" w:rsidP="009B0C71">
      <w:pPr>
        <w:pStyle w:val="ListParagraph"/>
        <w:numPr>
          <w:ilvl w:val="0"/>
          <w:numId w:val="12"/>
        </w:numPr>
        <w:rPr>
          <w:color w:val="000000" w:themeColor="text1"/>
        </w:rPr>
      </w:pPr>
      <w:r>
        <w:t xml:space="preserve">While </w:t>
      </w:r>
      <w:r w:rsidRPr="009B0C71">
        <w:rPr>
          <w:color w:val="000000" w:themeColor="text1"/>
        </w:rPr>
        <w:t>the</w:t>
      </w:r>
      <w:r>
        <w:t xml:space="preserve"> cluster has a </w:t>
      </w:r>
      <w:r>
        <w:rPr>
          <w:color w:val="000000" w:themeColor="text1"/>
        </w:rPr>
        <w:t>t</w:t>
      </w:r>
      <w:r w:rsidR="00F629FD" w:rsidRPr="005D39E6">
        <w:rPr>
          <w:color w:val="000000" w:themeColor="text1"/>
        </w:rPr>
        <w:t xml:space="preserve">rans-disciplinary approach, </w:t>
      </w:r>
      <w:r>
        <w:rPr>
          <w:color w:val="000000" w:themeColor="text1"/>
        </w:rPr>
        <w:t>most</w:t>
      </w:r>
      <w:r w:rsidR="00F629FD" w:rsidRPr="005D39E6">
        <w:rPr>
          <w:color w:val="000000" w:themeColor="text1"/>
        </w:rPr>
        <w:t xml:space="preserve"> researchers have a social science background</w:t>
      </w:r>
      <w:r>
        <w:rPr>
          <w:color w:val="000000" w:themeColor="text1"/>
        </w:rPr>
        <w:t>. There is a s</w:t>
      </w:r>
      <w:r w:rsidR="00F629FD" w:rsidRPr="005D39E6">
        <w:rPr>
          <w:color w:val="000000" w:themeColor="text1"/>
        </w:rPr>
        <w:t xml:space="preserve">trong focus on </w:t>
      </w:r>
      <w:r w:rsidR="009B0C71">
        <w:rPr>
          <w:color w:val="000000" w:themeColor="text1"/>
        </w:rPr>
        <w:t xml:space="preserve">quantitative </w:t>
      </w:r>
      <w:r w:rsidR="00F629FD" w:rsidRPr="005D39E6">
        <w:rPr>
          <w:color w:val="000000" w:themeColor="text1"/>
        </w:rPr>
        <w:t>data collectio</w:t>
      </w:r>
      <w:r>
        <w:rPr>
          <w:color w:val="000000" w:themeColor="text1"/>
        </w:rPr>
        <w:t>n</w:t>
      </w:r>
      <w:r w:rsidR="009B0C71">
        <w:rPr>
          <w:color w:val="000000" w:themeColor="text1"/>
        </w:rPr>
        <w:t xml:space="preserve"> in AMEX</w:t>
      </w:r>
      <w:r w:rsidR="00F629FD" w:rsidRPr="005D39E6">
        <w:rPr>
          <w:color w:val="000000" w:themeColor="text1"/>
        </w:rPr>
        <w:t xml:space="preserve">, </w:t>
      </w:r>
      <w:r w:rsidR="009B0C71">
        <w:rPr>
          <w:color w:val="000000" w:themeColor="text1"/>
        </w:rPr>
        <w:t>while</w:t>
      </w:r>
      <w:r w:rsidR="00F629FD" w:rsidRPr="005D39E6">
        <w:rPr>
          <w:color w:val="000000" w:themeColor="text1"/>
        </w:rPr>
        <w:t xml:space="preserve"> qualitative analysis</w:t>
      </w:r>
      <w:r w:rsidR="009B0C71">
        <w:rPr>
          <w:color w:val="000000" w:themeColor="text1"/>
        </w:rPr>
        <w:t xml:space="preserve"> is conducted in all programmes.</w:t>
      </w:r>
      <w:r w:rsidR="005F1FFE">
        <w:rPr>
          <w:color w:val="000000" w:themeColor="text1"/>
        </w:rPr>
        <w:t xml:space="preserve"> Increased natural science input will be sought through partnerships, associates and additional staff.</w:t>
      </w:r>
    </w:p>
    <w:p w14:paraId="146E539A" w14:textId="0A70C980" w:rsidR="005F1FFE" w:rsidRPr="009B0C71" w:rsidRDefault="005F1FFE" w:rsidP="009B0C71">
      <w:pPr>
        <w:pStyle w:val="ListParagraph"/>
        <w:numPr>
          <w:ilvl w:val="0"/>
          <w:numId w:val="12"/>
        </w:numPr>
        <w:rPr>
          <w:color w:val="000000" w:themeColor="text1"/>
        </w:rPr>
      </w:pPr>
      <w:r>
        <w:t>While some collaboration with the other clusters is ongoing, this will be further strengthened</w:t>
      </w:r>
      <w:r w:rsidR="00B00D06">
        <w:t>: exploring</w:t>
      </w:r>
      <w:r>
        <w:t xml:space="preserve"> the regional </w:t>
      </w:r>
      <w:proofErr w:type="spellStart"/>
      <w:r>
        <w:t>lense</w:t>
      </w:r>
      <w:proofErr w:type="spellEnd"/>
      <w:r>
        <w:t xml:space="preserve"> and the future of armed conflict</w:t>
      </w:r>
      <w:r w:rsidR="00B00D06">
        <w:t xml:space="preserve"> (cluster 2) and preventive measures (cluster 3).</w:t>
      </w:r>
    </w:p>
    <w:p w14:paraId="24F84ACF" w14:textId="608BD0D1" w:rsidR="00F629FD" w:rsidRPr="009B0C71" w:rsidRDefault="00F629FD" w:rsidP="00F629FD">
      <w:pPr>
        <w:pStyle w:val="ListParagraph"/>
        <w:numPr>
          <w:ilvl w:val="0"/>
          <w:numId w:val="12"/>
        </w:numPr>
        <w:rPr>
          <w:color w:val="000000" w:themeColor="text1"/>
        </w:rPr>
      </w:pPr>
      <w:r>
        <w:rPr>
          <w:color w:val="000000" w:themeColor="text1"/>
        </w:rPr>
        <w:t xml:space="preserve">Apart from research the cluster </w:t>
      </w:r>
      <w:r w:rsidR="009B0C71">
        <w:rPr>
          <w:color w:val="000000" w:themeColor="text1"/>
        </w:rPr>
        <w:t>is involved in</w:t>
      </w:r>
      <w:r>
        <w:rPr>
          <w:color w:val="000000" w:themeColor="text1"/>
        </w:rPr>
        <w:t xml:space="preserve"> dialogue/convening</w:t>
      </w:r>
      <w:r w:rsidR="009B0C71">
        <w:rPr>
          <w:color w:val="000000" w:themeColor="text1"/>
        </w:rPr>
        <w:t xml:space="preserve"> and</w:t>
      </w:r>
      <w:r>
        <w:rPr>
          <w:color w:val="000000" w:themeColor="text1"/>
        </w:rPr>
        <w:t xml:space="preserve"> capacity-building</w:t>
      </w:r>
      <w:r w:rsidR="009B0C71">
        <w:rPr>
          <w:color w:val="000000" w:themeColor="text1"/>
        </w:rPr>
        <w:t>.</w:t>
      </w:r>
    </w:p>
    <w:p w14:paraId="4F74C915" w14:textId="77777777" w:rsidR="001030A2" w:rsidRPr="001030A2" w:rsidRDefault="001030A2" w:rsidP="001030A2">
      <w:pPr>
        <w:pStyle w:val="ListParagraph"/>
      </w:pPr>
    </w:p>
    <w:p w14:paraId="4E5317E0" w14:textId="77777777" w:rsidR="003F3E7A" w:rsidRDefault="003F3E7A" w:rsidP="003F3E7A">
      <w:pPr>
        <w:pStyle w:val="ListParagraph"/>
        <w:numPr>
          <w:ilvl w:val="0"/>
          <w:numId w:val="1"/>
        </w:numPr>
        <w:rPr>
          <w:b/>
        </w:rPr>
      </w:pPr>
      <w:r>
        <w:rPr>
          <w:b/>
        </w:rPr>
        <w:t>Dissemination, outreach and audience</w:t>
      </w:r>
    </w:p>
    <w:p w14:paraId="71014F3D" w14:textId="45E21452" w:rsidR="009B0C71" w:rsidRDefault="009B0C71" w:rsidP="009B0C71">
      <w:pPr>
        <w:pStyle w:val="ListParagraph"/>
        <w:rPr>
          <w:color w:val="000000" w:themeColor="text1"/>
        </w:rPr>
      </w:pPr>
      <w:r>
        <w:rPr>
          <w:color w:val="000000" w:themeColor="text1"/>
        </w:rPr>
        <w:t xml:space="preserve">The </w:t>
      </w:r>
      <w:r w:rsidR="005F1FFE">
        <w:rPr>
          <w:color w:val="000000" w:themeColor="text1"/>
        </w:rPr>
        <w:t>four</w:t>
      </w:r>
      <w:r>
        <w:rPr>
          <w:color w:val="000000" w:themeColor="text1"/>
        </w:rPr>
        <w:t xml:space="preserve"> annual </w:t>
      </w:r>
      <w:r w:rsidR="005F1FFE">
        <w:rPr>
          <w:color w:val="000000" w:themeColor="text1"/>
        </w:rPr>
        <w:t xml:space="preserve">A&amp;D </w:t>
      </w:r>
      <w:r>
        <w:rPr>
          <w:color w:val="000000" w:themeColor="text1"/>
        </w:rPr>
        <w:t>data launches (arms transfers, arms production, military spending and nuclear forces) reach the broadest audience</w:t>
      </w:r>
      <w:r w:rsidR="005F1FFE">
        <w:rPr>
          <w:color w:val="000000" w:themeColor="text1"/>
        </w:rPr>
        <w:t>s</w:t>
      </w:r>
      <w:r>
        <w:rPr>
          <w:color w:val="000000" w:themeColor="text1"/>
        </w:rPr>
        <w:t xml:space="preserve">, including the public. Most outputs on dual-use and arms trade controls, emerging security technologies and nuclear disarmament, arms control and non-proliferation reach a more specialised audience:  </w:t>
      </w:r>
      <w:r>
        <w:rPr>
          <w:color w:val="000000" w:themeColor="text1"/>
        </w:rPr>
        <w:t>international and regional organisations (in particular UN and EU), national governments, parliaments</w:t>
      </w:r>
      <w:r>
        <w:rPr>
          <w:color w:val="000000" w:themeColor="text1"/>
        </w:rPr>
        <w:t>, academia</w:t>
      </w:r>
      <w:r>
        <w:rPr>
          <w:color w:val="000000" w:themeColor="text1"/>
        </w:rPr>
        <w:t xml:space="preserve"> and NGOs.</w:t>
      </w:r>
      <w:r>
        <w:rPr>
          <w:color w:val="000000" w:themeColor="text1"/>
        </w:rPr>
        <w:t xml:space="preserve"> Social media</w:t>
      </w:r>
      <w:r w:rsidR="00812A59">
        <w:rPr>
          <w:color w:val="000000" w:themeColor="text1"/>
        </w:rPr>
        <w:t>,</w:t>
      </w:r>
      <w:r>
        <w:rPr>
          <w:color w:val="000000" w:themeColor="text1"/>
        </w:rPr>
        <w:t xml:space="preserve"> data visualisation</w:t>
      </w:r>
      <w:r w:rsidR="00812A59">
        <w:rPr>
          <w:color w:val="000000" w:themeColor="text1"/>
        </w:rPr>
        <w:t xml:space="preserve"> and livestreaming</w:t>
      </w:r>
      <w:r>
        <w:rPr>
          <w:color w:val="000000" w:themeColor="text1"/>
        </w:rPr>
        <w:t xml:space="preserve"> are increasingly used across the cluster. DUAT also reaches companies</w:t>
      </w:r>
      <w:r w:rsidR="00A814DA">
        <w:rPr>
          <w:color w:val="000000" w:themeColor="text1"/>
        </w:rPr>
        <w:t xml:space="preserve"> and</w:t>
      </w:r>
      <w:r>
        <w:rPr>
          <w:color w:val="000000" w:themeColor="text1"/>
        </w:rPr>
        <w:t xml:space="preserve"> industry associations. The cluster</w:t>
      </w:r>
      <w:r w:rsidR="00A814DA">
        <w:rPr>
          <w:color w:val="000000" w:themeColor="text1"/>
        </w:rPr>
        <w:t xml:space="preserve"> provides the majority of the Yearbook chapters, and also widely uses all other SIPRI publication formats. The cluster already has increased, and will even further strengthen, its presence at key international events, in particular </w:t>
      </w:r>
      <w:r w:rsidR="005F1FFE">
        <w:rPr>
          <w:color w:val="000000" w:themeColor="text1"/>
        </w:rPr>
        <w:t xml:space="preserve">related to </w:t>
      </w:r>
      <w:r w:rsidR="00812A59">
        <w:rPr>
          <w:color w:val="000000" w:themeColor="text1"/>
        </w:rPr>
        <w:t>arms control agreements and institution</w:t>
      </w:r>
      <w:r w:rsidR="00A814DA">
        <w:rPr>
          <w:color w:val="000000" w:themeColor="text1"/>
        </w:rPr>
        <w:t>s. Overall, the cluster as a whole has increased its media profile and international visibility</w:t>
      </w:r>
      <w:bookmarkStart w:id="0" w:name="_GoBack"/>
      <w:bookmarkEnd w:id="0"/>
      <w:r w:rsidR="00A814DA">
        <w:rPr>
          <w:color w:val="000000" w:themeColor="text1"/>
        </w:rPr>
        <w:t xml:space="preserve"> and will endeavour to increase</w:t>
      </w:r>
      <w:r w:rsidR="005F1FFE">
        <w:rPr>
          <w:color w:val="000000" w:themeColor="text1"/>
        </w:rPr>
        <w:t xml:space="preserve"> even further</w:t>
      </w:r>
      <w:r w:rsidR="00A814DA">
        <w:rPr>
          <w:color w:val="000000" w:themeColor="text1"/>
        </w:rPr>
        <w:t>.</w:t>
      </w:r>
    </w:p>
    <w:p w14:paraId="67E9F735" w14:textId="23553250" w:rsidR="005F1FFE" w:rsidRPr="005F1FFE" w:rsidRDefault="005F1FFE" w:rsidP="005F1FFE">
      <w:pPr>
        <w:tabs>
          <w:tab w:val="left" w:pos="4059"/>
        </w:tabs>
      </w:pPr>
    </w:p>
    <w:sectPr w:rsidR="005F1FFE" w:rsidRPr="005F1FFE" w:rsidSect="00E44F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2212"/>
    <w:multiLevelType w:val="hybridMultilevel"/>
    <w:tmpl w:val="F0300EE8"/>
    <w:lvl w:ilvl="0" w:tplc="38380470">
      <w:start w:val="1"/>
      <w:numFmt w:val="upperRoman"/>
      <w:lvlText w:val="%1."/>
      <w:lvlJc w:val="left"/>
      <w:pPr>
        <w:ind w:left="564" w:hanging="360"/>
      </w:pPr>
      <w:rPr>
        <w:rFonts w:ascii="Arial" w:eastAsiaTheme="minorHAnsi" w:hAnsi="Arial" w:cs="Arial"/>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15:restartNumberingAfterBreak="0">
    <w:nsid w:val="08E13EAC"/>
    <w:multiLevelType w:val="hybridMultilevel"/>
    <w:tmpl w:val="51B8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A6D39"/>
    <w:multiLevelType w:val="hybridMultilevel"/>
    <w:tmpl w:val="CD608DA4"/>
    <w:lvl w:ilvl="0" w:tplc="A2A4E5F2">
      <w:start w:val="1"/>
      <w:numFmt w:val="bullet"/>
      <w:lvlText w:val=""/>
      <w:lvlJc w:val="left"/>
      <w:pPr>
        <w:ind w:left="123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3026"/>
    <w:multiLevelType w:val="hybridMultilevel"/>
    <w:tmpl w:val="B740824C"/>
    <w:lvl w:ilvl="0" w:tplc="A2A4E5F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6C2EFC"/>
    <w:multiLevelType w:val="hybridMultilevel"/>
    <w:tmpl w:val="473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51BAA"/>
    <w:multiLevelType w:val="hybridMultilevel"/>
    <w:tmpl w:val="BB30BC7A"/>
    <w:lvl w:ilvl="0" w:tplc="C380A176">
      <w:start w:val="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7F258C"/>
    <w:multiLevelType w:val="hybridMultilevel"/>
    <w:tmpl w:val="520C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A3B3A"/>
    <w:multiLevelType w:val="hybridMultilevel"/>
    <w:tmpl w:val="AF20EF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3B0D1005"/>
    <w:multiLevelType w:val="hybridMultilevel"/>
    <w:tmpl w:val="889AF1A4"/>
    <w:lvl w:ilvl="0" w:tplc="405EE07C">
      <w:start w:val="9"/>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F46183"/>
    <w:multiLevelType w:val="hybridMultilevel"/>
    <w:tmpl w:val="AA563C02"/>
    <w:lvl w:ilvl="0" w:tplc="1E109E3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053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694D92"/>
    <w:multiLevelType w:val="hybridMultilevel"/>
    <w:tmpl w:val="28B86C2C"/>
    <w:lvl w:ilvl="0" w:tplc="A2A4E5F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11"/>
  </w:num>
  <w:num w:numId="5">
    <w:abstractNumId w:val="0"/>
  </w:num>
  <w:num w:numId="6">
    <w:abstractNumId w:val="10"/>
  </w:num>
  <w:num w:numId="7">
    <w:abstractNumId w:val="4"/>
  </w:num>
  <w:num w:numId="8">
    <w:abstractNumId w:val="7"/>
  </w:num>
  <w:num w:numId="9">
    <w:abstractNumId w:val="6"/>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7A"/>
    <w:rsid w:val="001030A2"/>
    <w:rsid w:val="002326AB"/>
    <w:rsid w:val="00341DA6"/>
    <w:rsid w:val="00361B63"/>
    <w:rsid w:val="003F3E7A"/>
    <w:rsid w:val="00426700"/>
    <w:rsid w:val="004D7F50"/>
    <w:rsid w:val="005F1FFE"/>
    <w:rsid w:val="005F4AA0"/>
    <w:rsid w:val="00803562"/>
    <w:rsid w:val="00812A59"/>
    <w:rsid w:val="008C1B0E"/>
    <w:rsid w:val="009B0C71"/>
    <w:rsid w:val="00A814DA"/>
    <w:rsid w:val="00B00D06"/>
    <w:rsid w:val="00B814E7"/>
    <w:rsid w:val="00DA268B"/>
    <w:rsid w:val="00E44FB3"/>
    <w:rsid w:val="00EA52F4"/>
    <w:rsid w:val="00F6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5CE0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Smith</dc:creator>
  <cp:keywords/>
  <dc:description/>
  <cp:lastModifiedBy>Sibylle Bauer</cp:lastModifiedBy>
  <cp:revision>3</cp:revision>
  <dcterms:created xsi:type="dcterms:W3CDTF">2019-08-12T06:16:00Z</dcterms:created>
  <dcterms:modified xsi:type="dcterms:W3CDTF">2019-08-12T06:28:00Z</dcterms:modified>
</cp:coreProperties>
</file>